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60" w:after="100"/>
        <w:jc w:val="center"/>
      </w:pPr>
      <w:r>
        <w:rPr>
          <w:rFonts w:ascii="Arial" w:hAnsi="Arial" w:eastAsia="Arial"/>
          <w:b/>
          <w:i w:val="0"/>
          <w:color w:val="5B328C"/>
          <w:sz w:val="40"/>
        </w:rPr>
        <w:t>ПОЛИТИКА</w:t>
        <w:br/>
        <w:t>ОБРАБОТКИ ПЕРСОНАЛЬНЫХ ДАННЫХ</w:t>
      </w:r>
    </w:p>
    <w:p>
      <w:pPr>
        <w:spacing w:after="280"/>
        <w:jc w:val="center"/>
      </w:pPr>
      <w:r>
        <w:rPr>
          <w:rFonts w:ascii="Arial" w:hAnsi="Arial" w:eastAsia="Arial"/>
          <w:b/>
          <w:i w:val="0"/>
          <w:color w:val="241A40"/>
          <w:sz w:val="23"/>
        </w:rPr>
        <w:t>сайта баскетбольного клуба «Алькор»</w:t>
      </w:r>
    </w:p>
    <w:p>
      <w:pPr>
        <w:pStyle w:val="Heading1"/>
      </w:pPr>
      <w:r>
        <w:t>1. Общие положения</w:t>
      </w:r>
    </w:p>
    <w:p>
      <w:pPr>
        <w:widowControl/>
      </w:pPr>
      <w:r>
        <w:rPr>
          <w:rFonts w:ascii="Arial" w:hAnsi="Arial" w:eastAsia="Arial"/>
          <w:b w:val="0"/>
          <w:i w:val="0"/>
          <w:color w:val="241A40"/>
          <w:sz w:val="21"/>
        </w:rPr>
        <w:t>1.1. Настоящая Политика обработки персональных данных (далее — Политика) определяет порядок и условия обработки персональных данных посетителей сайта баскетбольного клуба «Алькор» индивидуальным предпринимателем Кармакских Галиной Владимировной.</w:t>
      </w:r>
    </w:p>
    <w:p>
      <w:pPr>
        <w:widowControl/>
      </w:pPr>
      <w:r>
        <w:rPr>
          <w:rFonts w:ascii="Arial" w:hAnsi="Arial" w:eastAsia="Arial"/>
          <w:b w:val="0"/>
          <w:i w:val="0"/>
          <w:color w:val="241A40"/>
          <w:sz w:val="21"/>
        </w:rPr>
        <w:t>1.2. Политика разработана в соответствии с Конституцией Российской Федерации, Федеральным законом от 27.07.2006 № 152-ФЗ «О персональных данных», Федеральным законом от 27.07.2006 № 149-ФЗ «Об информации, информационных технологиях и о защите информации» и иными применимыми нормативными правовыми актами Российской Федерации.</w:t>
      </w:r>
    </w:p>
    <w:p>
      <w:pPr>
        <w:widowControl/>
      </w:pPr>
      <w:r>
        <w:rPr>
          <w:rFonts w:ascii="Arial" w:hAnsi="Arial" w:eastAsia="Arial"/>
          <w:b w:val="0"/>
          <w:i w:val="0"/>
          <w:color w:val="241A40"/>
          <w:sz w:val="21"/>
        </w:rPr>
        <w:t>1.3. Политика действует в отношении персональных данных, получаемых через сайт БК «Алькор», в том числе через форму записи на бесплатную пробную тренировку. Адрес сайта указывается в опубликованной редакции Политики после присвоения доменного имени.</w:t>
      </w:r>
    </w:p>
    <w:p>
      <w:pPr>
        <w:widowControl/>
      </w:pPr>
      <w:r>
        <w:rPr>
          <w:rFonts w:ascii="Arial" w:hAnsi="Arial" w:eastAsia="Arial"/>
          <w:b w:val="0"/>
          <w:i w:val="0"/>
          <w:color w:val="241A40"/>
          <w:sz w:val="21"/>
        </w:rPr>
        <w:t>1.4. Используемые понятия применяются в значениях, установленных законодательством Российской Федерации о персональных данных.</w:t>
      </w:r>
    </w:p>
    <w:p>
      <w:pPr>
        <w:pStyle w:val="Heading1"/>
      </w:pPr>
      <w:r>
        <w:t>2. Сведения об Операторе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  <w:tblLayout w:type="fixed"/>
      </w:tblPr>
      <w:tblGrid>
        <w:gridCol w:w="4824"/>
        <w:gridCol w:w="4824"/>
      </w:tblGrid>
      <w:tr>
        <w:tc>
          <w:tcPr>
            <w:tcW w:type="dxa" w:w="2448"/>
            <w:vAlign w:val="center"/>
            <w:tcMar>
              <w:top w:w="80" w:type="dxa"/>
              <w:bottom w:w="80" w:type="dxa"/>
              <w:start w:w="100" w:type="dxa"/>
              <w:end w:w="10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Arial" w:hAnsi="Arial" w:eastAsia="Arial"/>
                <w:b/>
                <w:i w:val="0"/>
                <w:color w:val="241A40"/>
                <w:sz w:val="18"/>
              </w:rPr>
              <w:t>Оператор</w:t>
            </w:r>
          </w:p>
        </w:tc>
        <w:tc>
          <w:tcPr>
            <w:tcW w:type="dxa" w:w="7056"/>
            <w:vAlign w:val="center"/>
            <w:tcMar>
              <w:top w:w="80" w:type="dxa"/>
              <w:bottom w:w="80" w:type="dxa"/>
              <w:start w:w="100" w:type="dxa"/>
              <w:end w:w="10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Arial" w:hAnsi="Arial" w:eastAsia="Arial"/>
                <w:b w:val="0"/>
                <w:i w:val="0"/>
                <w:color w:val="241A40"/>
                <w:sz w:val="18"/>
              </w:rPr>
              <w:t>Индивидуальный предприниматель Кармакских Галина Владимировна</w:t>
            </w:r>
          </w:p>
        </w:tc>
      </w:tr>
      <w:tr>
        <w:tc>
          <w:tcPr>
            <w:tcW w:type="dxa" w:w="2448"/>
            <w:vAlign w:val="center"/>
            <w:tcMar>
              <w:top w:w="80" w:type="dxa"/>
              <w:bottom w:w="80" w:type="dxa"/>
              <w:start w:w="100" w:type="dxa"/>
              <w:end w:w="10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Arial" w:hAnsi="Arial" w:eastAsia="Arial"/>
                <w:b/>
                <w:i w:val="0"/>
                <w:color w:val="241A40"/>
                <w:sz w:val="18"/>
              </w:rPr>
              <w:t>ИНН</w:t>
            </w:r>
          </w:p>
        </w:tc>
        <w:tc>
          <w:tcPr>
            <w:tcW w:type="dxa" w:w="7056"/>
            <w:vAlign w:val="center"/>
            <w:tcMar>
              <w:top w:w="80" w:type="dxa"/>
              <w:bottom w:w="80" w:type="dxa"/>
              <w:start w:w="100" w:type="dxa"/>
              <w:end w:w="10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Arial" w:hAnsi="Arial" w:eastAsia="Arial"/>
                <w:b w:val="0"/>
                <w:i w:val="0"/>
                <w:color w:val="241A40"/>
                <w:sz w:val="18"/>
              </w:rPr>
              <w:t>720307661901</w:t>
            </w:r>
          </w:p>
        </w:tc>
      </w:tr>
      <w:tr>
        <w:tc>
          <w:tcPr>
            <w:tcW w:type="dxa" w:w="2448"/>
            <w:vAlign w:val="center"/>
            <w:tcMar>
              <w:top w:w="80" w:type="dxa"/>
              <w:bottom w:w="80" w:type="dxa"/>
              <w:start w:w="100" w:type="dxa"/>
              <w:end w:w="10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Arial" w:hAnsi="Arial" w:eastAsia="Arial"/>
                <w:b/>
                <w:i w:val="0"/>
                <w:color w:val="241A40"/>
                <w:sz w:val="18"/>
              </w:rPr>
              <w:t>ОГРНИП</w:t>
            </w:r>
          </w:p>
        </w:tc>
        <w:tc>
          <w:tcPr>
            <w:tcW w:type="dxa" w:w="7056"/>
            <w:vAlign w:val="center"/>
            <w:tcMar>
              <w:top w:w="80" w:type="dxa"/>
              <w:bottom w:w="80" w:type="dxa"/>
              <w:start w:w="100" w:type="dxa"/>
              <w:end w:w="10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Arial" w:hAnsi="Arial" w:eastAsia="Arial"/>
                <w:b w:val="0"/>
                <w:i w:val="0"/>
                <w:color w:val="241A40"/>
                <w:sz w:val="18"/>
              </w:rPr>
              <w:t>326723200076099</w:t>
            </w:r>
          </w:p>
        </w:tc>
      </w:tr>
      <w:tr>
        <w:tc>
          <w:tcPr>
            <w:tcW w:type="dxa" w:w="2448"/>
            <w:vAlign w:val="center"/>
            <w:tcMar>
              <w:top w:w="80" w:type="dxa"/>
              <w:bottom w:w="80" w:type="dxa"/>
              <w:start w:w="100" w:type="dxa"/>
              <w:end w:w="10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Arial" w:hAnsi="Arial" w:eastAsia="Arial"/>
                <w:b/>
                <w:i w:val="0"/>
                <w:color w:val="241A40"/>
                <w:sz w:val="18"/>
              </w:rPr>
              <w:t>Адрес</w:t>
            </w:r>
          </w:p>
        </w:tc>
        <w:tc>
          <w:tcPr>
            <w:tcW w:type="dxa" w:w="7056"/>
            <w:vAlign w:val="center"/>
            <w:tcMar>
              <w:top w:w="80" w:type="dxa"/>
              <w:bottom w:w="80" w:type="dxa"/>
              <w:start w:w="100" w:type="dxa"/>
              <w:end w:w="10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Arial" w:hAnsi="Arial" w:eastAsia="Arial"/>
                <w:b w:val="0"/>
                <w:i w:val="0"/>
                <w:color w:val="241A40"/>
                <w:sz w:val="18"/>
              </w:rPr>
              <w:t>625053, Россия, Тюменская область, г. Тюмень, ул. Космонавтов, д. 6, корп. 1, кв. 11</w:t>
            </w:r>
          </w:p>
        </w:tc>
      </w:tr>
      <w:tr>
        <w:tc>
          <w:tcPr>
            <w:tcW w:type="dxa" w:w="2448"/>
            <w:vAlign w:val="center"/>
            <w:tcMar>
              <w:top w:w="80" w:type="dxa"/>
              <w:bottom w:w="80" w:type="dxa"/>
              <w:start w:w="100" w:type="dxa"/>
              <w:end w:w="10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Arial" w:hAnsi="Arial" w:eastAsia="Arial"/>
                <w:b/>
                <w:i w:val="0"/>
                <w:color w:val="241A40"/>
                <w:sz w:val="18"/>
              </w:rPr>
              <w:t>Телефон</w:t>
            </w:r>
          </w:p>
        </w:tc>
        <w:tc>
          <w:tcPr>
            <w:tcW w:type="dxa" w:w="7056"/>
            <w:vAlign w:val="center"/>
            <w:tcMar>
              <w:top w:w="80" w:type="dxa"/>
              <w:bottom w:w="80" w:type="dxa"/>
              <w:start w:w="100" w:type="dxa"/>
              <w:end w:w="10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Arial" w:hAnsi="Arial" w:eastAsia="Arial"/>
                <w:b w:val="0"/>
                <w:i w:val="0"/>
                <w:color w:val="241A40"/>
                <w:sz w:val="18"/>
              </w:rPr>
              <w:t>+7 (922) 475-44-62</w:t>
            </w:r>
          </w:p>
        </w:tc>
      </w:tr>
      <w:tr>
        <w:tc>
          <w:tcPr>
            <w:tcW w:type="dxa" w:w="2448"/>
            <w:vAlign w:val="center"/>
            <w:tcMar>
              <w:top w:w="80" w:type="dxa"/>
              <w:bottom w:w="80" w:type="dxa"/>
              <w:start w:w="100" w:type="dxa"/>
              <w:end w:w="10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Arial" w:hAnsi="Arial" w:eastAsia="Arial"/>
                <w:b/>
                <w:i w:val="0"/>
                <w:color w:val="241A40"/>
                <w:sz w:val="18"/>
              </w:rPr>
              <w:t>Email для обращений и отзыва согласия</w:t>
            </w:r>
          </w:p>
        </w:tc>
        <w:tc>
          <w:tcPr>
            <w:tcW w:type="dxa" w:w="7056"/>
            <w:vAlign w:val="center"/>
            <w:tcMar>
              <w:top w:w="80" w:type="dxa"/>
              <w:bottom w:w="80" w:type="dxa"/>
              <w:start w:w="100" w:type="dxa"/>
              <w:end w:w="10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Arial" w:hAnsi="Arial" w:eastAsia="Arial"/>
                <w:b w:val="0"/>
                <w:i w:val="0"/>
                <w:color w:val="241A40"/>
                <w:sz w:val="18"/>
              </w:rPr>
              <w:t>bkalkor@bk.ru</w:t>
            </w:r>
          </w:p>
        </w:tc>
      </w:tr>
    </w:tbl>
    <w:p>
      <w:pPr>
        <w:pStyle w:val="Heading1"/>
      </w:pPr>
      <w:r>
        <w:t>3. Принципы обработки персональных данных</w:t>
      </w:r>
    </w:p>
    <w:p>
      <w:pPr>
        <w:numPr>
          <w:ilvl w:val="0"/>
          <w:numId w:val="10"/>
        </w:numPr>
        <w:spacing w:after="50" w:line="259" w:lineRule="auto"/>
      </w:pPr>
      <w:r>
        <w:rPr>
          <w:rFonts w:ascii="Arial" w:hAnsi="Arial" w:eastAsia="Arial"/>
          <w:b w:val="0"/>
          <w:i w:val="0"/>
          <w:color w:val="241A40"/>
          <w:sz w:val="20"/>
        </w:rPr>
        <w:t>обработка осуществляется законно, справедливо и только для заранее определённых целей;</w:t>
      </w:r>
    </w:p>
    <w:p>
      <w:pPr>
        <w:numPr>
          <w:ilvl w:val="0"/>
          <w:numId w:val="10"/>
        </w:numPr>
        <w:spacing w:after="50" w:line="259" w:lineRule="auto"/>
      </w:pPr>
      <w:r>
        <w:rPr>
          <w:rFonts w:ascii="Arial" w:hAnsi="Arial" w:eastAsia="Arial"/>
          <w:b w:val="0"/>
          <w:i w:val="0"/>
          <w:color w:val="241A40"/>
          <w:sz w:val="20"/>
        </w:rPr>
        <w:t>объём данных соответствует заявленным целям и не является избыточным;</w:t>
      </w:r>
    </w:p>
    <w:p>
      <w:pPr>
        <w:numPr>
          <w:ilvl w:val="0"/>
          <w:numId w:val="10"/>
        </w:numPr>
        <w:spacing w:after="50" w:line="259" w:lineRule="auto"/>
      </w:pPr>
      <w:r>
        <w:rPr>
          <w:rFonts w:ascii="Arial" w:hAnsi="Arial" w:eastAsia="Arial"/>
          <w:b w:val="0"/>
          <w:i w:val="0"/>
          <w:color w:val="241A40"/>
          <w:sz w:val="20"/>
        </w:rPr>
        <w:t>не допускается объединение баз данных, обрабатываемых в несовместимых целях;</w:t>
      </w:r>
    </w:p>
    <w:p>
      <w:pPr>
        <w:numPr>
          <w:ilvl w:val="0"/>
          <w:numId w:val="10"/>
        </w:numPr>
        <w:spacing w:after="50" w:line="259" w:lineRule="auto"/>
      </w:pPr>
      <w:r>
        <w:rPr>
          <w:rFonts w:ascii="Arial" w:hAnsi="Arial" w:eastAsia="Arial"/>
          <w:b w:val="0"/>
          <w:i w:val="0"/>
          <w:color w:val="241A40"/>
          <w:sz w:val="20"/>
        </w:rPr>
        <w:t>обеспечиваются точность, достаточность и актуальность данных;</w:t>
      </w:r>
    </w:p>
    <w:p>
      <w:pPr>
        <w:numPr>
          <w:ilvl w:val="0"/>
          <w:numId w:val="10"/>
        </w:numPr>
        <w:spacing w:after="50" w:line="259" w:lineRule="auto"/>
      </w:pPr>
      <w:r>
        <w:rPr>
          <w:rFonts w:ascii="Arial" w:hAnsi="Arial" w:eastAsia="Arial"/>
          <w:b w:val="0"/>
          <w:i w:val="0"/>
          <w:color w:val="241A40"/>
          <w:sz w:val="20"/>
        </w:rPr>
        <w:t>данные хранятся не дольше, чем этого требуют цели обработки;</w:t>
      </w:r>
    </w:p>
    <w:p>
      <w:pPr>
        <w:numPr>
          <w:ilvl w:val="0"/>
          <w:numId w:val="10"/>
        </w:numPr>
        <w:spacing w:after="50" w:line="259" w:lineRule="auto"/>
      </w:pPr>
      <w:r>
        <w:rPr>
          <w:rFonts w:ascii="Arial" w:hAnsi="Arial" w:eastAsia="Arial"/>
          <w:b w:val="0"/>
          <w:i w:val="0"/>
          <w:color w:val="241A40"/>
          <w:sz w:val="20"/>
        </w:rPr>
        <w:t>после достижения целей данные удаляются или обезличиваются, если иной срок не установлен законом или договором;</w:t>
      </w:r>
    </w:p>
    <w:p>
      <w:pPr>
        <w:numPr>
          <w:ilvl w:val="0"/>
          <w:numId w:val="10"/>
        </w:numPr>
        <w:spacing w:after="50" w:line="259" w:lineRule="auto"/>
      </w:pPr>
      <w:r>
        <w:rPr>
          <w:rFonts w:ascii="Arial" w:hAnsi="Arial" w:eastAsia="Arial"/>
          <w:b w:val="0"/>
          <w:i w:val="0"/>
          <w:color w:val="241A40"/>
          <w:sz w:val="20"/>
        </w:rPr>
        <w:t>Оператор принимает необходимые правовые, организационные и технические меры защиты данных.</w:t>
      </w:r>
    </w:p>
    <w:p>
      <w:pPr>
        <w:pStyle w:val="Heading1"/>
      </w:pPr>
      <w:r>
        <w:t>4. Субъекты и состав обрабатываемых данных</w:t>
      </w:r>
    </w:p>
    <w:p>
      <w:pPr>
        <w:widowControl/>
      </w:pPr>
      <w:r>
        <w:rPr>
          <w:rFonts w:ascii="Arial" w:hAnsi="Arial" w:eastAsia="Arial"/>
          <w:b w:val="0"/>
          <w:i w:val="0"/>
          <w:color w:val="241A40"/>
          <w:sz w:val="21"/>
        </w:rPr>
        <w:t>4.1. Субъектами персональных данных являются родители и иные законные представители детей, направляющие заявку на пробную тренировку, а также посетители сайта.</w:t>
      </w:r>
    </w:p>
    <w:p>
      <w:pPr>
        <w:widowControl/>
      </w:pPr>
      <w:r>
        <w:rPr>
          <w:rFonts w:ascii="Arial" w:hAnsi="Arial" w:eastAsia="Arial"/>
          <w:b w:val="0"/>
          <w:i w:val="0"/>
          <w:color w:val="241A40"/>
          <w:sz w:val="21"/>
        </w:rPr>
        <w:t>4.2. При подаче заявки Оператор обрабатывает:</w:t>
      </w:r>
    </w:p>
    <w:p>
      <w:pPr>
        <w:numPr>
          <w:ilvl w:val="0"/>
          <w:numId w:val="10"/>
        </w:numPr>
        <w:spacing w:after="50" w:line="259" w:lineRule="auto"/>
      </w:pPr>
      <w:r>
        <w:rPr>
          <w:rFonts w:ascii="Arial" w:hAnsi="Arial" w:eastAsia="Arial"/>
          <w:b w:val="0"/>
          <w:i w:val="0"/>
          <w:color w:val="241A40"/>
          <w:sz w:val="20"/>
        </w:rPr>
        <w:t>имя родителя или иного законного представителя;</w:t>
      </w:r>
    </w:p>
    <w:p>
      <w:pPr>
        <w:numPr>
          <w:ilvl w:val="0"/>
          <w:numId w:val="10"/>
        </w:numPr>
        <w:spacing w:after="50" w:line="259" w:lineRule="auto"/>
      </w:pPr>
      <w:r>
        <w:rPr>
          <w:rFonts w:ascii="Arial" w:hAnsi="Arial" w:eastAsia="Arial"/>
          <w:b w:val="0"/>
          <w:i w:val="0"/>
          <w:color w:val="241A40"/>
          <w:sz w:val="20"/>
        </w:rPr>
        <w:t>контактный номер телефона;</w:t>
      </w:r>
    </w:p>
    <w:p>
      <w:pPr>
        <w:numPr>
          <w:ilvl w:val="0"/>
          <w:numId w:val="10"/>
        </w:numPr>
        <w:spacing w:after="50" w:line="259" w:lineRule="auto"/>
      </w:pPr>
      <w:r>
        <w:rPr>
          <w:rFonts w:ascii="Arial" w:hAnsi="Arial" w:eastAsia="Arial"/>
          <w:b w:val="0"/>
          <w:i w:val="0"/>
          <w:color w:val="241A40"/>
          <w:sz w:val="20"/>
        </w:rPr>
        <w:t>технические сведения, автоматически передаваемые при использовании сайта: IP-адрес, дата и время обращения, сведения о браузере и устройстве, адрес запрошенной страницы, cookie и идентификаторы — только в объёме, необходимом для безопасности, функционирования сайта и разрешённой пользователем аналитики.</w:t>
      </w:r>
    </w:p>
    <w:p>
      <w:pPr>
        <w:widowControl/>
      </w:pPr>
      <w:r>
        <w:rPr>
          <w:rFonts w:ascii="Arial" w:hAnsi="Arial" w:eastAsia="Arial"/>
          <w:b w:val="0"/>
          <w:i w:val="0"/>
          <w:color w:val="241A40"/>
          <w:sz w:val="21"/>
        </w:rPr>
        <w:t>4.3. Через форму записи на пробную тренировку не запрашиваются паспортные данные, сведения о здоровье, биометрические данные, специальные категории персональных данных и персональные данные ребёнка.</w:t>
      </w:r>
    </w:p>
    <w:p>
      <w:pPr>
        <w:widowControl/>
      </w:pPr>
      <w:r>
        <w:rPr>
          <w:rFonts w:ascii="Arial" w:hAnsi="Arial" w:eastAsia="Arial"/>
          <w:b w:val="0"/>
          <w:i w:val="0"/>
          <w:color w:val="241A40"/>
          <w:sz w:val="21"/>
        </w:rPr>
        <w:t>4.4. Пользователь не должен указывать в полях формы сведения, которые не запрашиваются Оператором.</w:t>
      </w:r>
    </w:p>
    <w:p>
      <w:pPr>
        <w:pStyle w:val="Heading1"/>
      </w:pPr>
      <w:r>
        <w:t>5. Цели, основания, действия и сроки обработки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  <w:tblLayout w:type="fixed"/>
      </w:tblPr>
      <w:tblGrid>
        <w:gridCol w:w="2376"/>
        <w:gridCol w:w="2088"/>
        <w:gridCol w:w="3240"/>
        <w:gridCol w:w="1800"/>
      </w:tblGrid>
      <w:tr>
        <w:tc>
          <w:tcPr>
            <w:tcW w:type="dxa" w:w="2412"/>
            <w:shd w:fill="E8E0F1"/>
            <w:vAlign w:val="center"/>
            <w:tcMar>
              <w:top w:w="80" w:type="dxa"/>
              <w:bottom w:w="80" w:type="dxa"/>
              <w:start w:w="100" w:type="dxa"/>
              <w:end w:w="10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Arial" w:hAnsi="Arial" w:eastAsia="Arial"/>
                <w:b/>
                <w:i w:val="0"/>
                <w:color w:val="241A40"/>
                <w:sz w:val="17"/>
              </w:rPr>
              <w:t>Цель</w:t>
            </w:r>
          </w:p>
        </w:tc>
        <w:tc>
          <w:tcPr>
            <w:tcW w:type="dxa" w:w="2412"/>
            <w:shd w:fill="E8E0F1"/>
            <w:vAlign w:val="center"/>
            <w:tcMar>
              <w:top w:w="80" w:type="dxa"/>
              <w:bottom w:w="80" w:type="dxa"/>
              <w:start w:w="100" w:type="dxa"/>
              <w:end w:w="10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Arial" w:hAnsi="Arial" w:eastAsia="Arial"/>
                <w:b/>
                <w:i w:val="0"/>
                <w:color w:val="241A40"/>
                <w:sz w:val="17"/>
              </w:rPr>
              <w:t>Данные</w:t>
            </w:r>
          </w:p>
        </w:tc>
        <w:tc>
          <w:tcPr>
            <w:tcW w:type="dxa" w:w="2412"/>
            <w:shd w:fill="E8E0F1"/>
            <w:vAlign w:val="center"/>
            <w:tcMar>
              <w:top w:w="80" w:type="dxa"/>
              <w:bottom w:w="80" w:type="dxa"/>
              <w:start w:w="100" w:type="dxa"/>
              <w:end w:w="10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Arial" w:hAnsi="Arial" w:eastAsia="Arial"/>
                <w:b/>
                <w:i w:val="0"/>
                <w:color w:val="241A40"/>
                <w:sz w:val="17"/>
              </w:rPr>
              <w:t>Основание</w:t>
            </w:r>
          </w:p>
        </w:tc>
        <w:tc>
          <w:tcPr>
            <w:tcW w:type="dxa" w:w="2412"/>
            <w:shd w:fill="E8E0F1"/>
            <w:vAlign w:val="center"/>
            <w:tcMar>
              <w:top w:w="80" w:type="dxa"/>
              <w:bottom w:w="80" w:type="dxa"/>
              <w:start w:w="100" w:type="dxa"/>
              <w:end w:w="10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Arial" w:hAnsi="Arial" w:eastAsia="Arial"/>
                <w:b/>
                <w:i w:val="0"/>
                <w:color w:val="241A40"/>
                <w:sz w:val="17"/>
              </w:rPr>
              <w:t>Срок</w:t>
            </w:r>
          </w:p>
        </w:tc>
      </w:tr>
      <w:tr>
        <w:tc>
          <w:tcPr>
            <w:tcW w:type="dxa" w:w="2376"/>
            <w:vAlign w:val="center"/>
            <w:tcMar>
              <w:top w:w="80" w:type="dxa"/>
              <w:bottom w:w="80" w:type="dxa"/>
              <w:start w:w="100" w:type="dxa"/>
              <w:end w:w="10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Arial" w:hAnsi="Arial" w:eastAsia="Arial"/>
                <w:b w:val="0"/>
                <w:i w:val="0"/>
                <w:color w:val="241A40"/>
                <w:sz w:val="16"/>
              </w:rPr>
              <w:t>Приём и обработка заявки; связь для согласования пробной тренировки</w:t>
            </w:r>
          </w:p>
        </w:tc>
        <w:tc>
          <w:tcPr>
            <w:tcW w:type="dxa" w:w="2088"/>
            <w:vAlign w:val="center"/>
            <w:tcMar>
              <w:top w:w="80" w:type="dxa"/>
              <w:bottom w:w="80" w:type="dxa"/>
              <w:start w:w="100" w:type="dxa"/>
              <w:end w:w="10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Arial" w:hAnsi="Arial" w:eastAsia="Arial"/>
                <w:b w:val="0"/>
                <w:i w:val="0"/>
                <w:color w:val="241A40"/>
                <w:sz w:val="16"/>
              </w:rPr>
              <w:t>Имя, телефон, дата и сведения о заявке</w:t>
            </w:r>
          </w:p>
        </w:tc>
        <w:tc>
          <w:tcPr>
            <w:tcW w:type="dxa" w:w="3240"/>
            <w:vAlign w:val="center"/>
            <w:tcMar>
              <w:top w:w="80" w:type="dxa"/>
              <w:bottom w:w="80" w:type="dxa"/>
              <w:start w:w="100" w:type="dxa"/>
              <w:end w:w="10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Arial" w:hAnsi="Arial" w:eastAsia="Arial"/>
                <w:b w:val="0"/>
                <w:i w:val="0"/>
                <w:color w:val="241A40"/>
                <w:sz w:val="16"/>
              </w:rPr>
              <w:t>Отдельное согласие субъекта; действия по инициативе субъекта до заключения договора</w:t>
            </w:r>
          </w:p>
        </w:tc>
        <w:tc>
          <w:tcPr>
            <w:tcW w:type="dxa" w:w="1800"/>
            <w:vAlign w:val="center"/>
            <w:tcMar>
              <w:top w:w="80" w:type="dxa"/>
              <w:bottom w:w="80" w:type="dxa"/>
              <w:start w:w="100" w:type="dxa"/>
              <w:end w:w="10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Arial" w:hAnsi="Arial" w:eastAsia="Arial"/>
                <w:b w:val="0"/>
                <w:i w:val="0"/>
                <w:color w:val="241A40"/>
                <w:sz w:val="16"/>
              </w:rPr>
              <w:t>До обработки заявки, но не более 90 дней</w:t>
            </w:r>
          </w:p>
        </w:tc>
      </w:tr>
      <w:tr>
        <w:tc>
          <w:tcPr>
            <w:tcW w:type="dxa" w:w="2376"/>
            <w:vAlign w:val="center"/>
            <w:tcMar>
              <w:top w:w="80" w:type="dxa"/>
              <w:bottom w:w="80" w:type="dxa"/>
              <w:start w:w="100" w:type="dxa"/>
              <w:end w:w="10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Arial" w:hAnsi="Arial" w:eastAsia="Arial"/>
                <w:b w:val="0"/>
                <w:i w:val="0"/>
                <w:color w:val="241A40"/>
                <w:sz w:val="16"/>
              </w:rPr>
              <w:t>Обеспечение работы и безопасности сайта</w:t>
            </w:r>
          </w:p>
        </w:tc>
        <w:tc>
          <w:tcPr>
            <w:tcW w:type="dxa" w:w="2088"/>
            <w:vAlign w:val="center"/>
            <w:tcMar>
              <w:top w:w="80" w:type="dxa"/>
              <w:bottom w:w="80" w:type="dxa"/>
              <w:start w:w="100" w:type="dxa"/>
              <w:end w:w="10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Arial" w:hAnsi="Arial" w:eastAsia="Arial"/>
                <w:b w:val="0"/>
                <w:i w:val="0"/>
                <w:color w:val="241A40"/>
                <w:sz w:val="16"/>
              </w:rPr>
              <w:t>IP-адрес, дата и время, технические журналы</w:t>
            </w:r>
          </w:p>
        </w:tc>
        <w:tc>
          <w:tcPr>
            <w:tcW w:type="dxa" w:w="3240"/>
            <w:vAlign w:val="center"/>
            <w:tcMar>
              <w:top w:w="80" w:type="dxa"/>
              <w:bottom w:w="80" w:type="dxa"/>
              <w:start w:w="100" w:type="dxa"/>
              <w:end w:w="10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Arial" w:hAnsi="Arial" w:eastAsia="Arial"/>
                <w:b w:val="0"/>
                <w:i w:val="0"/>
                <w:color w:val="241A40"/>
                <w:sz w:val="16"/>
              </w:rPr>
              <w:t>Законный интерес Оператора и исполнение обязанностей по защите информации</w:t>
            </w:r>
          </w:p>
        </w:tc>
        <w:tc>
          <w:tcPr>
            <w:tcW w:type="dxa" w:w="1800"/>
            <w:vAlign w:val="center"/>
            <w:tcMar>
              <w:top w:w="80" w:type="dxa"/>
              <w:bottom w:w="80" w:type="dxa"/>
              <w:start w:w="100" w:type="dxa"/>
              <w:end w:w="10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Arial" w:hAnsi="Arial" w:eastAsia="Arial"/>
                <w:b w:val="0"/>
                <w:i w:val="0"/>
                <w:color w:val="241A40"/>
                <w:sz w:val="16"/>
              </w:rPr>
              <w:t>В пределах необходимого срока, но не более 12 месяцев, если закон не требует иного</w:t>
            </w:r>
          </w:p>
        </w:tc>
      </w:tr>
      <w:tr>
        <w:tc>
          <w:tcPr>
            <w:tcW w:type="dxa" w:w="2376"/>
            <w:vAlign w:val="center"/>
            <w:tcMar>
              <w:top w:w="80" w:type="dxa"/>
              <w:bottom w:w="80" w:type="dxa"/>
              <w:start w:w="100" w:type="dxa"/>
              <w:end w:w="10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Arial" w:hAnsi="Arial" w:eastAsia="Arial"/>
                <w:b w:val="0"/>
                <w:i w:val="0"/>
                <w:color w:val="241A40"/>
                <w:sz w:val="16"/>
              </w:rPr>
              <w:t>Аналитика и оценка эффективности рекламы</w:t>
            </w:r>
          </w:p>
        </w:tc>
        <w:tc>
          <w:tcPr>
            <w:tcW w:type="dxa" w:w="2088"/>
            <w:vAlign w:val="center"/>
            <w:tcMar>
              <w:top w:w="80" w:type="dxa"/>
              <w:bottom w:w="80" w:type="dxa"/>
              <w:start w:w="100" w:type="dxa"/>
              <w:end w:w="10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Arial" w:hAnsi="Arial" w:eastAsia="Arial"/>
                <w:b w:val="0"/>
                <w:i w:val="0"/>
                <w:color w:val="241A40"/>
                <w:sz w:val="16"/>
              </w:rPr>
              <w:t>Cookie, идентификаторы, технические сведения</w:t>
            </w:r>
          </w:p>
        </w:tc>
        <w:tc>
          <w:tcPr>
            <w:tcW w:type="dxa" w:w="3240"/>
            <w:vAlign w:val="center"/>
            <w:tcMar>
              <w:top w:w="80" w:type="dxa"/>
              <w:bottom w:w="80" w:type="dxa"/>
              <w:start w:w="100" w:type="dxa"/>
              <w:end w:w="10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Arial" w:hAnsi="Arial" w:eastAsia="Arial"/>
                <w:b w:val="0"/>
                <w:i w:val="0"/>
                <w:color w:val="241A40"/>
                <w:sz w:val="16"/>
              </w:rPr>
              <w:t>Отдельное согласие на необязательные cookie/аналитику</w:t>
            </w:r>
          </w:p>
        </w:tc>
        <w:tc>
          <w:tcPr>
            <w:tcW w:type="dxa" w:w="1800"/>
            <w:vAlign w:val="center"/>
            <w:tcMar>
              <w:top w:w="80" w:type="dxa"/>
              <w:bottom w:w="80" w:type="dxa"/>
              <w:start w:w="100" w:type="dxa"/>
              <w:end w:w="10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Arial" w:hAnsi="Arial" w:eastAsia="Arial"/>
                <w:b w:val="0"/>
                <w:i w:val="0"/>
                <w:color w:val="241A40"/>
                <w:sz w:val="16"/>
              </w:rPr>
              <w:t>До отзыва согласия или истечения срока соответствующих cookie</w:t>
            </w:r>
          </w:p>
        </w:tc>
      </w:tr>
    </w:tbl>
    <w:p>
      <w:pPr>
        <w:pStyle w:val="Heading1"/>
      </w:pPr>
      <w:r>
        <w:t>6. Порядок и способы обработки</w:t>
      </w:r>
    </w:p>
    <w:p>
      <w:pPr>
        <w:widowControl/>
      </w:pPr>
      <w:r>
        <w:rPr>
          <w:rFonts w:ascii="Arial" w:hAnsi="Arial" w:eastAsia="Arial"/>
          <w:b w:val="0"/>
          <w:i w:val="0"/>
          <w:color w:val="241A40"/>
          <w:sz w:val="21"/>
        </w:rPr>
        <w:t>6.1. Оператор осуществляет сбор, запись, систематизацию, накопление, хранение, уточнение, извлечение, использование, предоставление лицам, действующим по поручению Оператора, блокирование, удаление и уничтожение персональных данных с использованием средств автоматизации либо смешанным способом.</w:t>
      </w:r>
    </w:p>
    <w:p>
      <w:pPr>
        <w:widowControl/>
      </w:pPr>
      <w:r>
        <w:rPr>
          <w:rFonts w:ascii="Arial" w:hAnsi="Arial" w:eastAsia="Arial"/>
          <w:b w:val="0"/>
          <w:i w:val="0"/>
          <w:color w:val="241A40"/>
          <w:sz w:val="21"/>
        </w:rPr>
        <w:t>6.2. Имя и номер телефона вводятся пользователем в форму на сайте. Перед отправкой пользователь отдельно подтверждает согласие на обработку персональных данных. Галочка не проставляется заранее, а отправка формы без неё технически блокируется.</w:t>
      </w:r>
    </w:p>
    <w:p>
      <w:pPr>
        <w:widowControl/>
      </w:pPr>
      <w:r>
        <w:rPr>
          <w:rFonts w:ascii="Arial" w:hAnsi="Arial" w:eastAsia="Arial"/>
          <w:b w:val="0"/>
          <w:i w:val="0"/>
          <w:color w:val="241A40"/>
          <w:sz w:val="21"/>
        </w:rPr>
        <w:t>6.3. Сайт размещается на платформе Netlify. Функция Netlify Forms и иные механизмы сохранения заявок на стороне Netlify не используются. Данные формы должны направляться непосредственно в настроенное Оператором российское хранилище.</w:t>
      </w:r>
    </w:p>
    <w:p>
      <w:pPr>
        <w:widowControl/>
      </w:pPr>
      <w:r>
        <w:rPr>
          <w:rFonts w:ascii="Arial" w:hAnsi="Arial" w:eastAsia="Arial"/>
          <w:b w:val="0"/>
          <w:i w:val="0"/>
          <w:color w:val="241A40"/>
          <w:sz w:val="21"/>
        </w:rPr>
        <w:t>6.4. Первичная запись, систематизация, накопление, хранение, уточнение и извлечение персональных данных граждан Российской Федерации осуществляются с использованием базы данных на территории Российской Федерации.</w:t>
      </w:r>
    </w:p>
    <w:p>
      <w:pPr>
        <w:pStyle w:val="Heading1"/>
      </w:pPr>
      <w:r>
        <w:t>7. Используемые сервисы и передача данных</w:t>
      </w:r>
    </w:p>
    <w:p>
      <w:pPr>
        <w:widowControl/>
      </w:pPr>
      <w:r>
        <w:rPr>
          <w:rFonts w:ascii="Arial" w:hAnsi="Arial" w:eastAsia="Arial"/>
          <w:b w:val="0"/>
          <w:i w:val="0"/>
          <w:color w:val="241A40"/>
          <w:sz w:val="21"/>
        </w:rPr>
        <w:t>7.1. Для хранения и ведения реестра заявок Оператор использует сервис Яндекс 360 / Яндекс Документы (Яндекс Таблицы). Доступ к таблице предоставляется только уполномоченным Оператором лицам. До начала эксплуатации Оператор обязан проверить договорные условия сервиса, место размещения базы и доступные настройки безопасности.</w:t>
      </w:r>
    </w:p>
    <w:p>
      <w:pPr>
        <w:widowControl/>
      </w:pPr>
      <w:r>
        <w:rPr>
          <w:rFonts w:ascii="Arial" w:hAnsi="Arial" w:eastAsia="Arial"/>
          <w:b w:val="0"/>
          <w:i w:val="0"/>
          <w:color w:val="241A40"/>
          <w:sz w:val="21"/>
        </w:rPr>
        <w:t>7.2. В целях функционирования сервиса данные могут обрабатываться ООО «ЯНДЕКС» (ОГРН 1027700229193) либо иным юридическим лицом, указанным в действующих условиях соответствующего сервиса Яндекс, в объёме, предусмотренном договором и поручением на обработку персональных данных.</w:t>
      </w:r>
    </w:p>
    <w:p>
      <w:pPr>
        <w:widowControl/>
      </w:pPr>
      <w:r>
        <w:rPr>
          <w:rFonts w:ascii="Arial" w:hAnsi="Arial" w:eastAsia="Arial"/>
          <w:b w:val="0"/>
          <w:i w:val="0"/>
          <w:color w:val="241A40"/>
          <w:sz w:val="21"/>
        </w:rPr>
        <w:t>7.3. На сайте планируется использование пикселя VK Реклама. До получения отдельного согласия пользователя необязательные аналитические и рекламные cookie и пиксель VK не должны активироваться. В рамках работы пикселя технические данные могут передаваться ООО «ВК» (ОГРН 1027739850962) в соответствии с его условиями и политикой конфиденциальности.</w:t>
      </w:r>
    </w:p>
    <w:p>
      <w:pPr>
        <w:widowControl/>
      </w:pPr>
      <w:r>
        <w:rPr>
          <w:rFonts w:ascii="Arial" w:hAnsi="Arial" w:eastAsia="Arial"/>
          <w:b w:val="0"/>
          <w:i w:val="0"/>
          <w:color w:val="241A40"/>
          <w:sz w:val="21"/>
        </w:rPr>
        <w:t>7.4. Оператор не распространяет персональные данные и не передаёт их третьим лицам, кроме случаев, предусмотренных законом, настоящей Политикой, отдельным согласием либо договором с лицом, обрабатывающим данные по поручению Оператора.</w:t>
      </w:r>
    </w:p>
    <w:p>
      <w:pPr>
        <w:widowControl/>
      </w:pPr>
      <w:r>
        <w:rPr>
          <w:rFonts w:ascii="Arial" w:hAnsi="Arial" w:eastAsia="Arial"/>
          <w:b w:val="0"/>
          <w:i w:val="0"/>
          <w:color w:val="241A40"/>
          <w:sz w:val="21"/>
        </w:rPr>
        <w:t>7.5. Трансграничная передача имени и телефона, введённых в форму заявки, не осуществляется. Подключение нового сервиса, способного повлечь трансграничную передачу, допускается только после отдельной правовой и технической проверки и выполнения требований законодательства.</w:t>
      </w:r>
    </w:p>
    <w:p>
      <w:pPr>
        <w:pStyle w:val="Heading1"/>
      </w:pPr>
      <w:r>
        <w:t>8. Cookie и VK Пиксель</w:t>
      </w:r>
    </w:p>
    <w:p>
      <w:pPr>
        <w:widowControl/>
      </w:pPr>
      <w:r>
        <w:rPr>
          <w:rFonts w:ascii="Arial" w:hAnsi="Arial" w:eastAsia="Arial"/>
          <w:b w:val="0"/>
          <w:i w:val="0"/>
          <w:color w:val="241A40"/>
          <w:sz w:val="21"/>
        </w:rPr>
        <w:t>8.1. Технически необходимые cookie могут использоваться без отдельного выбора пользователя, если без них невозможно корректное и безопасное функционирование сайта.</w:t>
      </w:r>
    </w:p>
    <w:p>
      <w:pPr>
        <w:widowControl/>
      </w:pPr>
      <w:r>
        <w:rPr>
          <w:rFonts w:ascii="Arial" w:hAnsi="Arial" w:eastAsia="Arial"/>
          <w:b w:val="0"/>
          <w:i w:val="0"/>
          <w:color w:val="241A40"/>
          <w:sz w:val="21"/>
        </w:rPr>
        <w:t>8.2. Аналитические и рекламные cookie, включая связанные с VK Пикселем, активируются только после выраженного пользователем согласия в баннере управления cookie.</w:t>
      </w:r>
    </w:p>
    <w:p>
      <w:pPr>
        <w:widowControl/>
      </w:pPr>
      <w:r>
        <w:rPr>
          <w:rFonts w:ascii="Arial" w:hAnsi="Arial" w:eastAsia="Arial"/>
          <w:b w:val="0"/>
          <w:i w:val="0"/>
          <w:color w:val="241A40"/>
          <w:sz w:val="21"/>
        </w:rPr>
        <w:t>8.3. Пользователь может отказаться от необязательных cookie либо отозвать ранее предоставленное согласие через настройки сайта и браузера. Отказ не должен препятствовать отправке заявки на пробную тренировку.</w:t>
      </w:r>
    </w:p>
    <w:p>
      <w:pPr>
        <w:pStyle w:val="Heading1"/>
      </w:pPr>
      <w:r>
        <w:t>9. Хранение, прекращение обработки и уничтожение</w:t>
      </w:r>
    </w:p>
    <w:p>
      <w:pPr>
        <w:widowControl/>
      </w:pPr>
      <w:r>
        <w:rPr>
          <w:rFonts w:ascii="Arial" w:hAnsi="Arial" w:eastAsia="Arial"/>
          <w:b w:val="0"/>
          <w:i w:val="0"/>
          <w:color w:val="241A40"/>
          <w:sz w:val="21"/>
        </w:rPr>
        <w:t>9.1. Заявка хранится до завершения взаимодействия с пользователем, но не более 90 календарных дней с даты её направления, если за этот период не заключён договор и отсутствуют иные законные основания для дальнейшей обработки.</w:t>
      </w:r>
    </w:p>
    <w:p>
      <w:pPr>
        <w:widowControl/>
      </w:pPr>
      <w:r>
        <w:rPr>
          <w:rFonts w:ascii="Arial" w:hAnsi="Arial" w:eastAsia="Arial"/>
          <w:b w:val="0"/>
          <w:i w:val="0"/>
          <w:color w:val="241A40"/>
          <w:sz w:val="21"/>
        </w:rPr>
        <w:t>9.2. Если родитель становится заказчиком услуг клуба, необходимые данные могут быть включены в документы, связанные с заключением и исполнением договора, и храниться в сроки, предусмотренные соответствующими документами и законодательством.</w:t>
      </w:r>
    </w:p>
    <w:p>
      <w:pPr>
        <w:widowControl/>
      </w:pPr>
      <w:r>
        <w:rPr>
          <w:rFonts w:ascii="Arial" w:hAnsi="Arial" w:eastAsia="Arial"/>
          <w:b w:val="0"/>
          <w:i w:val="0"/>
          <w:color w:val="241A40"/>
          <w:sz w:val="21"/>
        </w:rPr>
        <w:t>9.3. При отзыве согласия или достижении цели обработки данные удаляются либо обезличиваются в срок, установленный законодательством, если Оператор не вправе или не обязан продолжить обработку на ином законном основании.</w:t>
      </w:r>
    </w:p>
    <w:p>
      <w:pPr>
        <w:widowControl/>
      </w:pPr>
      <w:r>
        <w:rPr>
          <w:rFonts w:ascii="Arial" w:hAnsi="Arial" w:eastAsia="Arial"/>
          <w:b w:val="0"/>
          <w:i w:val="0"/>
          <w:color w:val="241A40"/>
          <w:sz w:val="21"/>
        </w:rPr>
        <w:t>9.4. Уничтожение электронных данных оформляется способом, позволяющим подтвердить прекращение их обработки, в том числе актом или записью в журнале уничтожения.</w:t>
      </w:r>
    </w:p>
    <w:p>
      <w:pPr>
        <w:pStyle w:val="Heading1"/>
      </w:pPr>
      <w:r>
        <w:t>10. Права субъекта персональных данных</w:t>
      </w:r>
    </w:p>
    <w:p>
      <w:pPr>
        <w:widowControl/>
      </w:pPr>
      <w:r>
        <w:rPr>
          <w:rFonts w:ascii="Arial" w:hAnsi="Arial" w:eastAsia="Arial"/>
          <w:b w:val="0"/>
          <w:i w:val="0"/>
          <w:color w:val="241A40"/>
          <w:sz w:val="21"/>
        </w:rPr>
        <w:t>Субъект персональных данных вправе:</w:t>
      </w:r>
    </w:p>
    <w:p>
      <w:pPr>
        <w:numPr>
          <w:ilvl w:val="0"/>
          <w:numId w:val="10"/>
        </w:numPr>
        <w:spacing w:after="50" w:line="259" w:lineRule="auto"/>
      </w:pPr>
      <w:r>
        <w:rPr>
          <w:rFonts w:ascii="Arial" w:hAnsi="Arial" w:eastAsia="Arial"/>
          <w:b w:val="0"/>
          <w:i w:val="0"/>
          <w:color w:val="241A40"/>
          <w:sz w:val="20"/>
        </w:rPr>
        <w:t>получать информацию об обработке своих данных;</w:t>
      </w:r>
    </w:p>
    <w:p>
      <w:pPr>
        <w:numPr>
          <w:ilvl w:val="0"/>
          <w:numId w:val="10"/>
        </w:numPr>
        <w:spacing w:after="50" w:line="259" w:lineRule="auto"/>
      </w:pPr>
      <w:r>
        <w:rPr>
          <w:rFonts w:ascii="Arial" w:hAnsi="Arial" w:eastAsia="Arial"/>
          <w:b w:val="0"/>
          <w:i w:val="0"/>
          <w:color w:val="241A40"/>
          <w:sz w:val="20"/>
        </w:rPr>
        <w:t>требовать уточнения, блокирования или удаления неполных, устаревших, неточных, незаконно полученных либо не нужных для заявленной цели данных;</w:t>
      </w:r>
    </w:p>
    <w:p>
      <w:pPr>
        <w:numPr>
          <w:ilvl w:val="0"/>
          <w:numId w:val="10"/>
        </w:numPr>
        <w:spacing w:after="50" w:line="259" w:lineRule="auto"/>
      </w:pPr>
      <w:r>
        <w:rPr>
          <w:rFonts w:ascii="Arial" w:hAnsi="Arial" w:eastAsia="Arial"/>
          <w:b w:val="0"/>
          <w:i w:val="0"/>
          <w:color w:val="241A40"/>
          <w:sz w:val="20"/>
        </w:rPr>
        <w:t>отозвать согласие на обработку персональных данных;</w:t>
      </w:r>
    </w:p>
    <w:p>
      <w:pPr>
        <w:numPr>
          <w:ilvl w:val="0"/>
          <w:numId w:val="10"/>
        </w:numPr>
        <w:spacing w:after="50" w:line="259" w:lineRule="auto"/>
      </w:pPr>
      <w:r>
        <w:rPr>
          <w:rFonts w:ascii="Arial" w:hAnsi="Arial" w:eastAsia="Arial"/>
          <w:b w:val="0"/>
          <w:i w:val="0"/>
          <w:color w:val="241A40"/>
          <w:sz w:val="20"/>
        </w:rPr>
        <w:t>возражать против обработки в случаях, предусмотренных законом;</w:t>
      </w:r>
    </w:p>
    <w:p>
      <w:pPr>
        <w:numPr>
          <w:ilvl w:val="0"/>
          <w:numId w:val="10"/>
        </w:numPr>
        <w:spacing w:after="50" w:line="259" w:lineRule="auto"/>
      </w:pPr>
      <w:r>
        <w:rPr>
          <w:rFonts w:ascii="Arial" w:hAnsi="Arial" w:eastAsia="Arial"/>
          <w:b w:val="0"/>
          <w:i w:val="0"/>
          <w:color w:val="241A40"/>
          <w:sz w:val="20"/>
        </w:rPr>
        <w:t>обжаловать действия или бездействие Оператора в Роскомнадзор или суд;</w:t>
      </w:r>
    </w:p>
    <w:p>
      <w:pPr>
        <w:numPr>
          <w:ilvl w:val="0"/>
          <w:numId w:val="10"/>
        </w:numPr>
        <w:spacing w:after="50" w:line="259" w:lineRule="auto"/>
      </w:pPr>
      <w:r>
        <w:rPr>
          <w:rFonts w:ascii="Arial" w:hAnsi="Arial" w:eastAsia="Arial"/>
          <w:b w:val="0"/>
          <w:i w:val="0"/>
          <w:color w:val="241A40"/>
          <w:sz w:val="20"/>
        </w:rPr>
        <w:t>осуществлять иные права, предусмотренные законодательством Российской Федерации.</w:t>
      </w:r>
    </w:p>
    <w:p>
      <w:pPr>
        <w:pStyle w:val="Heading1"/>
      </w:pPr>
      <w:r>
        <w:t>11. Порядок обращения и отзыва согласия</w:t>
      </w:r>
    </w:p>
    <w:p>
      <w:pPr>
        <w:widowControl/>
      </w:pPr>
      <w:r>
        <w:rPr>
          <w:rFonts w:ascii="Arial" w:hAnsi="Arial" w:eastAsia="Arial"/>
          <w:b w:val="0"/>
          <w:i w:val="0"/>
          <w:color w:val="241A40"/>
          <w:sz w:val="21"/>
        </w:rPr>
        <w:t>11.1. Обращение или отзыв согласия можно направить на электронную почту bkalkor@bk.ru либо почтовым отправлением по адресу Оператора.</w:t>
      </w:r>
    </w:p>
    <w:p>
      <w:pPr>
        <w:widowControl/>
      </w:pPr>
      <w:r>
        <w:rPr>
          <w:rFonts w:ascii="Arial" w:hAnsi="Arial" w:eastAsia="Arial"/>
          <w:b w:val="0"/>
          <w:i w:val="0"/>
          <w:color w:val="241A40"/>
          <w:sz w:val="21"/>
        </w:rPr>
        <w:t>11.2. В обращении рекомендуется указать имя, контактный номер телефона, с которым направлялась заявка, суть требования и сведения, позволяющие Оператору подтвердить личность заявителя без сбора избыточных данных.</w:t>
      </w:r>
    </w:p>
    <w:p>
      <w:pPr>
        <w:widowControl/>
      </w:pPr>
      <w:r>
        <w:rPr>
          <w:rFonts w:ascii="Arial" w:hAnsi="Arial" w:eastAsia="Arial"/>
          <w:b w:val="0"/>
          <w:i w:val="0"/>
          <w:color w:val="241A40"/>
          <w:sz w:val="21"/>
        </w:rPr>
        <w:t>11.3. Оператор рассматривает обращение и сообщает о результате в сроки, предусмотренные законодательством Российской Федерации.</w:t>
      </w:r>
    </w:p>
    <w:p>
      <w:pPr>
        <w:pStyle w:val="Heading1"/>
      </w:pPr>
      <w:r>
        <w:t>12. Меры защиты персональных данных</w:t>
      </w:r>
    </w:p>
    <w:p>
      <w:pPr>
        <w:widowControl/>
      </w:pPr>
      <w:r>
        <w:rPr>
          <w:rFonts w:ascii="Arial" w:hAnsi="Arial" w:eastAsia="Arial"/>
          <w:b w:val="0"/>
          <w:i w:val="0"/>
          <w:color w:val="241A40"/>
          <w:sz w:val="21"/>
        </w:rPr>
        <w:t>Оператор с учётом характера и объёма обработки применяет необходимые меры, включая:</w:t>
      </w:r>
    </w:p>
    <w:p>
      <w:pPr>
        <w:numPr>
          <w:ilvl w:val="0"/>
          <w:numId w:val="10"/>
        </w:numPr>
        <w:spacing w:after="50" w:line="259" w:lineRule="auto"/>
      </w:pPr>
      <w:r>
        <w:rPr>
          <w:rFonts w:ascii="Arial" w:hAnsi="Arial" w:eastAsia="Arial"/>
          <w:b w:val="0"/>
          <w:i w:val="0"/>
          <w:color w:val="241A40"/>
          <w:sz w:val="20"/>
        </w:rPr>
        <w:t>назначение лица, ответственного за организацию обработки персональных данных;</w:t>
      </w:r>
    </w:p>
    <w:p>
      <w:pPr>
        <w:numPr>
          <w:ilvl w:val="0"/>
          <w:numId w:val="10"/>
        </w:numPr>
        <w:spacing w:after="50" w:line="259" w:lineRule="auto"/>
      </w:pPr>
      <w:r>
        <w:rPr>
          <w:rFonts w:ascii="Arial" w:hAnsi="Arial" w:eastAsia="Arial"/>
          <w:b w:val="0"/>
          <w:i w:val="0"/>
          <w:color w:val="241A40"/>
          <w:sz w:val="20"/>
        </w:rPr>
        <w:t>утверждение локальных документов и ограничение целей обработки;</w:t>
      </w:r>
    </w:p>
    <w:p>
      <w:pPr>
        <w:numPr>
          <w:ilvl w:val="0"/>
          <w:numId w:val="10"/>
        </w:numPr>
        <w:spacing w:after="50" w:line="259" w:lineRule="auto"/>
      </w:pPr>
      <w:r>
        <w:rPr>
          <w:rFonts w:ascii="Arial" w:hAnsi="Arial" w:eastAsia="Arial"/>
          <w:b w:val="0"/>
          <w:i w:val="0"/>
          <w:color w:val="241A40"/>
          <w:sz w:val="20"/>
        </w:rPr>
        <w:t>разграничение прав доступа к таблице заявок;</w:t>
      </w:r>
    </w:p>
    <w:p>
      <w:pPr>
        <w:numPr>
          <w:ilvl w:val="0"/>
          <w:numId w:val="10"/>
        </w:numPr>
        <w:spacing w:after="50" w:line="259" w:lineRule="auto"/>
      </w:pPr>
      <w:r>
        <w:rPr>
          <w:rFonts w:ascii="Arial" w:hAnsi="Arial" w:eastAsia="Arial"/>
          <w:b w:val="0"/>
          <w:i w:val="0"/>
          <w:color w:val="241A40"/>
          <w:sz w:val="20"/>
        </w:rPr>
        <w:t>применение сложных паролей и двухфакторной аутентификации, если она поддерживается сервисом;</w:t>
      </w:r>
    </w:p>
    <w:p>
      <w:pPr>
        <w:numPr>
          <w:ilvl w:val="0"/>
          <w:numId w:val="10"/>
        </w:numPr>
        <w:spacing w:after="50" w:line="259" w:lineRule="auto"/>
      </w:pPr>
      <w:r>
        <w:rPr>
          <w:rFonts w:ascii="Arial" w:hAnsi="Arial" w:eastAsia="Arial"/>
          <w:b w:val="0"/>
          <w:i w:val="0"/>
          <w:color w:val="241A40"/>
          <w:sz w:val="20"/>
        </w:rPr>
        <w:t>учёт лиц, допущенных к данным, и обязанность сохранять конфиденциальность;</w:t>
      </w:r>
    </w:p>
    <w:p>
      <w:pPr>
        <w:numPr>
          <w:ilvl w:val="0"/>
          <w:numId w:val="10"/>
        </w:numPr>
        <w:spacing w:after="50" w:line="259" w:lineRule="auto"/>
      </w:pPr>
      <w:r>
        <w:rPr>
          <w:rFonts w:ascii="Arial" w:hAnsi="Arial" w:eastAsia="Arial"/>
          <w:b w:val="0"/>
          <w:i w:val="0"/>
          <w:color w:val="241A40"/>
          <w:sz w:val="20"/>
        </w:rPr>
        <w:t>резервное копирование, контроль доступа и своевременное обновление программных компонентов;</w:t>
      </w:r>
    </w:p>
    <w:p>
      <w:pPr>
        <w:numPr>
          <w:ilvl w:val="0"/>
          <w:numId w:val="10"/>
        </w:numPr>
        <w:spacing w:after="50" w:line="259" w:lineRule="auto"/>
      </w:pPr>
      <w:r>
        <w:rPr>
          <w:rFonts w:ascii="Arial" w:hAnsi="Arial" w:eastAsia="Arial"/>
          <w:b w:val="0"/>
          <w:i w:val="0"/>
          <w:color w:val="241A40"/>
          <w:sz w:val="20"/>
        </w:rPr>
        <w:t>выявление инцидентов, восстановление данных и уведомление уполномоченного органа в предусмотренных законом случаях;</w:t>
      </w:r>
    </w:p>
    <w:p>
      <w:pPr>
        <w:numPr>
          <w:ilvl w:val="0"/>
          <w:numId w:val="10"/>
        </w:numPr>
        <w:spacing w:after="50" w:line="259" w:lineRule="auto"/>
      </w:pPr>
      <w:r>
        <w:rPr>
          <w:rFonts w:ascii="Arial" w:hAnsi="Arial" w:eastAsia="Arial"/>
          <w:b w:val="0"/>
          <w:i w:val="0"/>
          <w:color w:val="241A40"/>
          <w:sz w:val="20"/>
        </w:rPr>
        <w:t>регулярную проверку соответствия фактической обработки настоящей Политике.</w:t>
      </w:r>
    </w:p>
    <w:p>
      <w:pPr>
        <w:pStyle w:val="Heading1"/>
      </w:pPr>
      <w:r>
        <w:t>13. Актуализация Политики</w:t>
      </w:r>
    </w:p>
    <w:p>
      <w:pPr>
        <w:widowControl/>
      </w:pPr>
      <w:r>
        <w:rPr>
          <w:rFonts w:ascii="Arial" w:hAnsi="Arial" w:eastAsia="Arial"/>
          <w:b w:val="0"/>
          <w:i w:val="0"/>
          <w:color w:val="241A40"/>
          <w:sz w:val="21"/>
        </w:rPr>
        <w:t>13.1. Оператор вправе изменять Политику при изменении законодательства, состава данных, целей обработки, используемых сервисов или технической архитектуры сайта.</w:t>
      </w:r>
    </w:p>
    <w:p>
      <w:pPr>
        <w:widowControl/>
      </w:pPr>
      <w:r>
        <w:rPr>
          <w:rFonts w:ascii="Arial" w:hAnsi="Arial" w:eastAsia="Arial"/>
          <w:b w:val="0"/>
          <w:i w:val="0"/>
          <w:color w:val="241A40"/>
          <w:sz w:val="21"/>
        </w:rPr>
        <w:t>13.2. Новая редакция вступает в силу с момента её публикации на сайте, если в ней не указан иной срок.</w:t>
      </w:r>
    </w:p>
    <w:p>
      <w:pPr>
        <w:widowControl/>
      </w:pPr>
      <w:r>
        <w:rPr>
          <w:rFonts w:ascii="Arial" w:hAnsi="Arial" w:eastAsia="Arial"/>
          <w:b w:val="0"/>
          <w:i w:val="0"/>
          <w:color w:val="241A40"/>
          <w:sz w:val="21"/>
        </w:rPr>
        <w:t>13.3. До запуска сайта в опубликованную редакцию необходимо добавить точный домен сайта. При подключении новых форм, сервисов аналитики, CRM, рассылок или дополнительных полей Политика и формы согласий подлежат предварительному обновлению.</w:t>
      </w:r>
    </w:p>
    <w:p>
      <w:pPr>
        <w:pStyle w:val="Heading1"/>
      </w:pPr>
      <w:r>
        <w:t>14. Контактная информация</w:t>
      </w:r>
    </w:p>
    <w:p>
      <w:pPr>
        <w:widowControl/>
      </w:pPr>
      <w:r>
        <w:rPr>
          <w:rFonts w:ascii="Arial" w:hAnsi="Arial" w:eastAsia="Arial"/>
          <w:b w:val="0"/>
          <w:i w:val="0"/>
          <w:color w:val="241A40"/>
          <w:sz w:val="21"/>
        </w:rPr>
        <w:t>По вопросам обработки и защиты персональных данных: ИП Кармакских Галина Владимировна, email: bkalkor@bk.ru, телефон: +7 (922) 475-44-62.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152" w:right="1296" w:bottom="864" w:left="1296" w:header="504" w:footer="50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/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9">
    <w:multiLevelType w:val="singleLevel"/>
    <w:lvl w:ilvl="0">
      <w:start w:val="1"/>
      <w:numFmt w:val="bullet"/>
      <w:lvlText w:val="•"/>
      <w:lvlJc w:val="left"/>
      <w:pPr>
        <w:tabs>
          <w:tab w:val="num" w:pos="430"/>
        </w:tabs>
        <w:ind w:left="430" w:hanging="260"/>
      </w:pPr>
    </w:lvl>
  </w:abstract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 w:line="259" w:lineRule="auto"/>
    </w:pPr>
    <w:rPr>
      <w:rFonts w:ascii="Arial" w:hAnsi="Arial"/>
      <w:color w:val="241A40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20" w:after="120"/>
      <w:outlineLvl w:val="0"/>
    </w:pPr>
    <w:rPr>
      <w:rFonts w:asciiTheme="majorHAnsi" w:eastAsiaTheme="majorEastAsia" w:hAnsiTheme="majorHAnsi" w:cstheme="majorBidi" w:ascii="Arial" w:hAnsi="Arial"/>
      <w:b/>
      <w:bCs/>
      <w:color w:val="5B328C"/>
      <w:sz w:val="29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80" w:after="80"/>
      <w:outlineLvl w:val="1"/>
    </w:pPr>
    <w:rPr>
      <w:rFonts w:asciiTheme="majorHAnsi" w:eastAsiaTheme="majorEastAsia" w:hAnsiTheme="majorHAnsi" w:cstheme="majorBidi" w:ascii="Arial" w:hAnsi="Arial"/>
      <w:b/>
      <w:bCs/>
      <w:color w:val="5B328C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Политика обработки персональных данных БК Алькор</dc:title>
  <dc:subject>Документы сайта БК Алькор</dc:subject>
  <dc:creator>ИП Кармакских Галина Владимировна</dc:creator>
  <cp:keywords>персональные данные, БК Алькор, политика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